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left="0" w:leftChars="0" w:firstLine="0" w:firstLineChars="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spacing w:line="560" w:lineRule="exact"/>
        <w:ind w:firstLine="640" w:firstLineChars="200"/>
        <w:jc w:val="left"/>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r>
        <w:rPr>
          <w:rFonts w:hint="eastAsia" w:ascii="方正小标宋简体" w:hAnsi="方正小标宋简体" w:eastAsia="方正小标宋简体" w:cs="方正小标宋简体"/>
          <w:sz w:val="44"/>
          <w:szCs w:val="44"/>
          <w:lang w:val="en-US" w:eastAsia="zh-CN"/>
        </w:rPr>
        <w:t>伊州财建[2024]29号伊犁州特克斯县特色林果业标准化生产示范基地以工代赈项目项目支出绩效自评报告</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（2024年度）</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2238" w:leftChars="304" w:hanging="1600" w:hangingChars="5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项目名称：伊州财建[2024]29号伊犁州特克斯县特色林果业</w:t>
      </w:r>
      <w:bookmarkStart w:id="0" w:name="_GoBack"/>
      <w:bookmarkEnd w:id="0"/>
      <w:r>
        <w:rPr>
          <w:rFonts w:hint="eastAsia" w:ascii="Times New Roman" w:hAnsi="Times New Roman" w:eastAsia="仿宋_GB2312" w:cs="Times New Roman"/>
          <w:sz w:val="32"/>
          <w:lang w:val="en-US" w:eastAsia="zh-CN"/>
        </w:rPr>
        <w:t>标准化生产示范基地以工代赈项目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实施单位（公章）：特克斯县林业和草原局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主管部门（公章）：特克斯县林业和草原局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项目负责人（签章）：胥洪军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填报时间：2025年05月21日</w:t>
      </w: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一、基本情况</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（一）项目概况</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1.项目背景</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根据自治区关于做好 2024 年重点工程配套设施建设以工代赈中央预算内投资计划申报工作的通知，国家发展改革委、交通运输部、水利部、农业农村部、林业和草原局印发《关于做好 2024 年重点工程配套设施建设以工代赈中央预算内投资计划申报工作的通知》要求，国家发展改革委拟在 2024 年以工代赈中央预算内投资中专门下达一批投资计划，支持有关地方在重点工程配套设施建设中实施以工代赈项目的要求，在征得乔拉克铁热克镇克孜勒阔拉村村民同意后，我县组织林业部门核实提出本项目。同时，拟将特克斯县特色林果标准化生产示范基地项目作为推广以工代赈方式项目，纳入 2024 年重点工程推广以工代赈方式清单，预计吸纳当地群众务工 260 人。 </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实施前该特色林果种植示范基地主要要为少量的一般农田、人工林跟大片的严重退化旱地草场，旱地草场内生长着天然草、芨芨草、小型灌木等植被，产量极低，由于缺乏水源，荒漠化现象严重以及林果园区内部及外部农业道路、交通运输道路一直在使用原有土路，存在崎岖不平、道路狭窄、通行条件极差等严重问题。为解决节水灌溉管道 40 公里，砂石道路 20 公里，来配套项目区的发展，通过实施伊犁州特克斯县特色林果标准化生产示范基地以工代赈项目，有效解决剩余地块无法通水的矛盾。本项目按照《国家以工代赈管理办法》《全国“十四五”以工代赈工作方案》《关于进一步坚守“赈”的初心充分发挥以工代赈政策功能的意见》等文件要求，深刻把握以工代赈“工程是手段、赈济是目的”“项目建设是平台载体、就业增收是根本目标”的政策内涵，选择投资规模小、技术门槛低、前期工作简单、务工技能要求不高的农村小型基础设施，充分发挥以工代赈资金项目带动群众就业增收实效，与重点项目资金形成合力，扩大以工代赈项目的范围，促进群众就近就业增收、提高劳动技能。</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2.项目主要内容：</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项目主要内容：新修建完成节水灌溉管道40公里，沙石道路20公里。</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项目实施情况：该项目由新疆江铸建设工程有限公司，中标实施，目前该项目已通过验收。</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3.资金投入和使用情况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（1）资金投入情况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该项目年初预算数800万元，全年预算数800万元，该项目资金已全部落实到位，资金来源为中央预算内资金。</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（2）资金使用情况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该项目年初预算数800万元，全年预算数800万元，全年执行数756.45万元，预算执行率为94.5%，主要用于：灌溉管道40公里，沙石道路20公里，及项目实施方案编制、监理、图纸设计等费用。</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（二）项目绩效目标</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1.总体目标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完成节水灌溉管道40公里，砂石道路20公里，改善该示范园基础条件，具有一定的示范带动，用工多为本地工人，增加就业渠道，促进当地居民增收致富。</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2.阶段性目标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按照项目进度5月至6月完成项目招标，6月至10月完成项目建设主要内容，11月至12月完成项目验收，并支付项目资金。</w:t>
      </w: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二、绩效评价工作开展情况</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（一）绩效评价目的、对象和范围</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1.绩效评价完整性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2.绩效评价的目的</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（1）评估项目实施效果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通过对项目预算执行情况及各项绩效目标达成程度的系统性分析，全面、客观地评估项目在预定周期内的实施效果，包括经济效益、社会效益、生态效益以及可持续性等多维度指标，为项目后续的改进与优化提供科学依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（2）提升资源利用效率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（3）强化项目管理责任</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（4）为决策提供支持</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（5）促进项目持续改进</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3.绩效评价的对象</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评价对象是伊犁州特克斯县特色林果标准化生产示范基地以工代赈项目及其预算执行情况。该项目由特克斯县林业和草原局负责实施，旨在通过该项目完善林果示范基地滴灌管网、道路，建设，通过当地农牧民技能培训，提高当地就业率解决富裕劳劳动力，促进当地农牧民增收。项目预算涵盖从2024年4月至2024年12月的全部资金投入与支出，涉及资金总额为800万元。</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4.绩效评价的范围</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（1）项目预算编制与执行：全面审视项目预算的编制依据、合理性、科学性以及实际执行情况，包括预算调整的原因和效果。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（2）资金管理：深入分析项目资金的分配、使用和监管情况，确保资金使用的合规性、高效性和透明度。</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（3）项目实施进度与产出：评估项目是否按照既定计划顺利推进，各项任务是否按时完成，以及项目产出的数量、质量和时效性是否符合预期。</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（4）社会、生态等影响：考察项目对社会、生态、经济等方面的综合影响。</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（二）绩效评价原则、评价指标体系（详情见表1）、评价方法、评价标准。</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1.绩效评价原则</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本次项目绩效评价遵循以下基本原则：</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（1）科学公正。绩效评价应当运用科学合理的方法，按照规范的程序，对项目绩效进行客观、公正的反映。</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（3）激励约束。绩效评价结果应与预算安排、政策调整、改进管理实质性挂钩，体现奖优罚劣和激励相容导向，有效要安排、低效要压减、无效要问责。</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（4）公开透明。绩效评价结果应依法依规公开，并自觉接受社会监督。</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2.评价指标体系</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绩效评价框架是开展绩效评价的核心。绩效评价框架包括评价准则、关键评价问题、评价指标、数据来源、数据收集方法等。指标体系建立过程如下：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（1）确定评价指标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（2）确定权重</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（3）确定指标标准值</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指标标准值是绩效评价指标的尺度，既要反映同类项目的先进水平，又要符合项目的实际绩效水平。具体采用计划标准等确定此次绩效评价指标标准值。</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绩效评价总分值100分，根据综合评分结果，90（含）-100分为优、80（含）-90分为良、60（含）-80分为中、60分以下为差。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具体评价指标体系详情见附件1</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3.绩效评价方法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本次评价指标中，既有定性指标又有定量指标，各类指标因考核内容不同和客观标准不同存在较大差异，因此核定具体指标时采用了成本效益分析法，具体评价方法如下：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成本效益分析法。是指将投入与产出、效益进行关联性分析的方法。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 本项目实施后，其经济效益带动农村产业结构的调整，将推进产业化进程，初步形成持续增收的长效机制，农村经济有效发展，农产品销售和农业生产资料便于流通，项目实施后的经济效益显著。项目的实施将有力带动项目区群众发展致富，提高就业群众收入水平。在经济效益层面，特克斯县的林果业基地建设展现出了强大的带动力。随着基地的逐步建成和运营，当地农业经济得到了显著提振。农民们通过参与林果种植、管理、销售等环节，不仅增加了收入，还获得了更多稳定的就业机会。</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4.评价标准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绩效评价标准通常包括计划标准、行业标准、历史标准等，用于对绩效指标完成情况进行比较、分析、评价。本次评价主要采用了计划标准。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（1）计划标准。指以预先制定的目标、计划、预算、定额等作为评价标准。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计划标准，有利于项目工程按照预期目标、时间进度有序推进。</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（三）绩效评价工作过程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（1）前期准备与规划</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（2）指标体系构建</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（3）数据收集与整理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（4）数据分析与评估</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（5）报告撰写与反馈</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（6）后续跟踪与改进</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三、综合评价情况及评价结论</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（一）评价情况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综合评价基于对项目各方面绩效的深入分析与评估。从项目目标的达成情况来看，伊犁州特克斯县特色林果标准化生产示范基地以工代赈项目完成节水灌溉管网铺设40公里、道路修建20公里、用工量超出260人，及发放劳务报酬超过260万元，等方面表现出色，达到了预期的标准与要求。同时，项目也在林果标准化示范园建设、生态工程建设上取得了显著的成效，如解决了基地灌溉、道路基础设施建设，促进了林果提质增效工作示范带动作用，为本县全域旅游、荒山生态绿化奠定了基础。</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项目管理方面，特克斯县林业和草原局通过有效的规划、组织与协调，项目得以顺利实施，并在预算与时间上保持了良好的控制。从项目效益的角度来看，本项目不仅实现了预期的社会效益、生态效益、经济效益等方面产生了积极的影响。具体而言，基础设施建设、增加就业岗位，促进农牧民增收致富果园水肥一体化管理等方面的提升，为项目的利益相关者带来了实实在在的利益。</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综上所述，伊犁州特克斯县特色林果标准化生产示范基地以工代赈项目在绩效评价中表现出色，达到了项目的预期目标，并在多个方面取得了显著的成效。</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（二）评价结论</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99.23分，属于“优”。其中，项目决策类指标权重为20分，得分为20分，得分率为100%。项目过程类指标权重为20分，得分为19.78分，得分率为98.9%。项目产出类指标权重为40分，得分为39.45分，得分率为98.62%。项目效益类指标权重为20分，得分为20分，得分率为100%。具体打分情况详见：附件1综合评分表。</w:t>
      </w: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四、绩效评价指标分析。</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（一）项目决策情况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项目决策类指标包括项目立项、绩效目标和资金投入三方面的内容，由6个三级指标构成，权重分值为20分，实际得分20分，得分率为100%。</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1.项目立项</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（1）立项依据充分性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（2）立项程序规范性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2.绩效目标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（1）绩效目标合理性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（2）绩效指标明确性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项目设置了明确的预期产出效益和效果，将绩效目标细化分解为具体的绩效指标，绩效目标与项目目标任务数相对应，绩效目标设定的绩效指标清晰、细化、可衡量。</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3.资金投入</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（1）预算编制科学性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（2）资金分配合理性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（二）项目过程情况。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项目过程类指标包括资金管理和组织实施两方面的内容，由5个三级指标构成，权重分值为20分，实际得分19.78分，得分率为98.9%。</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1.资金管理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（1）资金到位率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本项目总投资800万元，财政资金及时足额到位，到位率100%，预算资金按计划进度执行。</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（2）预算执行率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预算编制较为详细，项目资金支出总体能够按照预算执行，预算资金支出756.45万元，预算执行率为94.5%。</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（3）资金使用合规性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2.组织实施</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（1）管理制度健全性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在制度设计上，我们注重了制度的科学性与可操作性，确保制度能够切实指导项目的执行与管理。</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（2）制度执行有效性</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综上所述，本项目的管理制度在执行过程中表现出了高度的有效性，既确保了项目的顺利进行，又实现了项目目标的有效达成。</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（三）项目产出情况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项目产出类指标包括产出指标、质量指标、时效指标、产出成本、效益指标三方面的内容，由11个三级指标构成，权重分为40分，实际得分39.45分，得分率为98.62%。具体产出指标完成情况如下：</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①产出指标：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指标1：新建节水灌溉管道长度（公里），指标值：40公里，实际完成值：40公里，指标完成率100 %。</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指标2：砂石道路建设里程（公里），指标值：20公里，实际完成值：20公里，指标完成率100 %。</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指标3：实施方案编制（本），指标值：1本，实际完成值1本，指标完成率100%。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②质量指标：“两个责任”按项目落实到位率，指标值：=90%，实际完成值90%，指标完成率100%。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③时效指标：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指标1：项目工程按期完工率（%），指标值：=90%，实际完成值90%，指标完成率100%。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④成本指标：</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指标1：发放劳务报酬，指标值：=260万元，实际完成值260万元，指标完成率100%。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指标2：节水灌溉管道工程建筑工程费用，指标值：=296万，实际完成值261.95万元，指标完成率88.46%。</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指标偏差原因：工程质量质保金未支付。</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指标3：砂石道路工程建筑费用，指标值：=174万，实际完成值174万元，指标完成率100%。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指标4：附属设施费用，指标值：=18万元，实际完成值18万元，指标完成率100%。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指标5：建筑工程建设其它费用，指标值：=30万元，实际完成值28.2万元，指标完成率93.3%。</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指标偏差原因：项目完工后，监理资料未及时交付甲方，监理费用2万元未支付。</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指标6：建筑工程基本预备费，指标值：=22万元，实际完成值14.5万元，指标完成率65.91%。</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指标偏差原因：项目工程管理费7.5万元，因我单位办公经费由财政统一拨付，7.5万元由财政统筹。</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（四）项目效益情况。</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效益类指标包括项目实施效益和满意度两方面的内容，由5个三级指标构成，权重分为20分，实际得分20分，得分率为100%。具体效益指标及满意度指标完成情况如下：1.实施效益①经济效益指标：指标1：提升基地亩产，人均新增收入（亩/元），指标值=200元/亩，实际完成值200元/亩，指标完成率100%。②社会效益指标：指标1：项目区基础设施条件，指标值持续改善，实际完成值持续改善，指标完成率100%。指标2：社会效益指标：带动农民工务工人数指标值=260人，实际完成值260人，指标完成率100%。指标3：社会效益指标：村民自建示范，激发群众内生动力，指标值显著提升，实际完成值显著提升，指标完成率100%。2.群众满意度指标：参与工程建设任务的务工群众满意度（%），指标值≥95%，实际完成值95%，指标完成率100%。</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（五）预算执行进度与绩效指标总体完成率偏差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伊犁州特克斯县特色林果标准化生产示范基地以工代赈项目年初预算800万元，全年预算800万元，实际支出756.45万元，预算执行率为94.5%，项目绩效指标总体完成率为96.73%，总体偏差率为2.23%，偏差原因：因该项目涉及内容为基础设施建设，存在质保问题，所以项目资金未全额支付。改进措施：质保期到期后，及时复验并支付相应资金。</w:t>
      </w: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五、主要经验及做法、存在的问题及原因分析</w:t>
      </w:r>
    </w:p>
    <w:p>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（一）主要经验及做法</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二）存在的问题及原因分析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六、有关建议</w:t>
      </w:r>
    </w:p>
    <w:p>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多进行有关绩效管理工作方面的培训。积极组织第三方开展绩效管理工作培训，进一步夯实业务基础，提高我单位绩效人员水平。2.专门设定对绩效工作人员定职、定岗、定责等相关制度措施，进一步提升我单位绩效管理工作业务水平，扎实做好绩效管理工作。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4.进一步完善项目评价过程中有关数据和资料的收集、整理、审核及分析。项目启动时同步做好档案的归纳与整理，及时整理、收集、汇总，健全档案资料。项目后续管理有待进一步加强和跟踪。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七、其他需要说明的问题</w:t>
      </w:r>
    </w:p>
    <w:p>
      <w:pPr>
        <w:rPr>
          <w:rFonts w:hint="eastAsia"/>
          <w:lang w:val="en-US" w:eastAsia="zh-CN"/>
        </w:rPr>
        <w:sectPr>
          <w:pgSz w:w="11906" w:h="16838"/>
          <w:pgMar w:top="2098" w:right="1531" w:bottom="1984" w:left="1531" w:header="851" w:footer="992" w:gutter="0"/>
          <w:cols w:space="425" w:num="1"/>
          <w:docGrid w:type="lines" w:linePitch="312" w:charSpace="0"/>
        </w:sectPr>
      </w:pPr>
      <w:r>
        <w:rPr>
          <w:rFonts w:hint="eastAsia" w:ascii="Times New Roman" w:hAnsi="Times New Roman" w:eastAsia="仿宋_GB2312" w:cs="Times New Roman"/>
          <w:sz w:val="32"/>
          <w:lang w:val="en-US" w:eastAsia="zh-CN"/>
        </w:rPr>
        <w:t>本项目无其他需说明的问题。</w:t>
      </w:r>
    </w:p>
    <w:tbl>
      <w:tblPr>
        <w:tblStyle w:val="16"/>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p>
            <w:pPr>
              <w:widowControl/>
              <w:spacing w:line="0" w:lineRule="atLeast"/>
              <w:ind w:firstLine="360" w:firstLineChars="200"/>
              <w:jc w:val="center"/>
              <w:rPr>
                <w:rFonts w:ascii="Times New Roman" w:hAnsi="Times New Roman" w:eastAsia="仿宋_GB2312" w:cs="Times New Roman"/>
                <w:color w:val="000000"/>
                <w:kern w:val="0"/>
                <w:sz w:val="18"/>
                <w:szCs w:val="18"/>
              </w:rPr>
            </w:pPr>
          </w:p>
          <w:p>
            <w:pPr>
              <w:widowControl/>
              <w:spacing w:line="0" w:lineRule="atLeast"/>
              <w:ind w:firstLine="360" w:firstLineChars="200"/>
              <w:jc w:val="center"/>
              <w:rPr>
                <w:rFonts w:ascii="Times New Roman" w:hAnsi="Times New Roman" w:eastAsia="仿宋_GB2312" w:cs="Times New Roman"/>
                <w:color w:val="000000"/>
                <w:kern w:val="0"/>
                <w:sz w:val="18"/>
                <w:szCs w:val="18"/>
              </w:rPr>
            </w:pPr>
          </w:p>
          <w:p>
            <w:pPr>
              <w:widowControl/>
              <w:spacing w:line="0" w:lineRule="atLeast"/>
              <w:ind w:firstLine="360" w:firstLineChars="200"/>
              <w:jc w:val="center"/>
              <w:rPr>
                <w:rFonts w:ascii="Times New Roman" w:hAnsi="Times New Roman" w:eastAsia="仿宋_GB2312" w:cs="Times New Roman"/>
                <w:color w:val="000000"/>
                <w:kern w:val="0"/>
                <w:sz w:val="18"/>
                <w:szCs w:val="18"/>
              </w:rPr>
            </w:pPr>
          </w:p>
          <w:p>
            <w:pPr>
              <w:widowControl/>
              <w:spacing w:line="0" w:lineRule="atLeast"/>
              <w:ind w:firstLine="360" w:firstLineChars="200"/>
              <w:jc w:val="center"/>
              <w:rPr>
                <w:rFonts w:ascii="Times New Roman" w:hAnsi="Times New Roman" w:eastAsia="仿宋_GB2312" w:cs="Times New Roman"/>
                <w:color w:val="000000"/>
                <w:kern w:val="0"/>
                <w:sz w:val="18"/>
                <w:szCs w:val="18"/>
              </w:rPr>
            </w:pPr>
          </w:p>
          <w:p>
            <w:pPr>
              <w:widowControl/>
              <w:spacing w:line="0" w:lineRule="atLeast"/>
              <w:ind w:firstLine="360" w:firstLineChars="200"/>
              <w:jc w:val="center"/>
              <w:rPr>
                <w:rFonts w:ascii="Times New Roman" w:hAnsi="Times New Roman" w:eastAsia="仿宋_GB2312" w:cs="Times New Roman"/>
                <w:color w:val="000000"/>
                <w:kern w:val="0"/>
                <w:sz w:val="18"/>
                <w:szCs w:val="18"/>
              </w:rPr>
            </w:pP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立项依据</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项目立项是否符合国家法律法规、国民经济发展规划和相关政策；</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项目立项是否符合行业发展规划和政策要求；</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③</w:t>
            </w:r>
            <w:r>
              <w:rPr>
                <w:rFonts w:ascii="Times New Roman" w:hAnsi="Times New Roman" w:eastAsia="仿宋_GB2312" w:cs="Times New Roman"/>
                <w:color w:val="000000"/>
                <w:kern w:val="0"/>
                <w:sz w:val="18"/>
                <w:szCs w:val="18"/>
              </w:rPr>
              <w:t>项目立项是否与部门职责范围相符，属于部门履职所需；</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④</w:t>
            </w:r>
            <w:r>
              <w:rPr>
                <w:rFonts w:ascii="Times New Roman" w:hAnsi="Times New Roman" w:eastAsia="仿宋_GB2312" w:cs="Times New Roman"/>
                <w:color w:val="000000"/>
                <w:kern w:val="0"/>
                <w:sz w:val="18"/>
                <w:szCs w:val="18"/>
              </w:rPr>
              <w:t>项目是否属于公共财政支持范围，是否符合中央、地方事权支出责任划分原则；</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⑤</w:t>
            </w:r>
            <w:r>
              <w:rPr>
                <w:rFonts w:ascii="Times New Roman" w:hAnsi="Times New Roman" w:eastAsia="仿宋_GB2312" w:cs="Times New Roman"/>
                <w:color w:val="000000"/>
                <w:kern w:val="0"/>
                <w:sz w:val="18"/>
                <w:szCs w:val="18"/>
              </w:rPr>
              <w:t>项目是否与相关部门同类项目或部门内部相关项目重复。</w:t>
            </w:r>
          </w:p>
        </w:tc>
        <w:tc>
          <w:tcPr>
            <w:tcW w:w="13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hint="eastAsia" w:ascii="Times New Roman" w:hAnsi="Times New Roman" w:eastAsia="仿宋_GB2312" w:cs="Times New Roman"/>
                <w:b/>
                <w:bCs/>
                <w:color w:val="000000"/>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立项程序</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项目是否按照规定的程序申请设立；</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审批文件、材料是否符合相关要求；</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③</w:t>
            </w:r>
            <w:r>
              <w:rPr>
                <w:rFonts w:ascii="Times New Roman" w:hAnsi="Times New Roman" w:eastAsia="仿宋_GB2312" w:cs="Times New Roman"/>
                <w:color w:val="000000"/>
                <w:kern w:val="0"/>
                <w:sz w:val="18"/>
                <w:szCs w:val="18"/>
              </w:rPr>
              <w:t>事前是否已经过必要的可行性研究、专家论证、风险评估、绩效评估、集体决策。</w:t>
            </w:r>
          </w:p>
        </w:tc>
        <w:tc>
          <w:tcPr>
            <w:tcW w:w="13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绩效目标</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（如未设定预算绩效目标，也可考核其他工作任务目标）</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项目是否有绩效目标；</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项目绩效目标与实际工作内容是否具有相关性；</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③</w:t>
            </w:r>
            <w:r>
              <w:rPr>
                <w:rFonts w:ascii="Times New Roman" w:hAnsi="Times New Roman" w:eastAsia="仿宋_GB2312" w:cs="Times New Roman"/>
                <w:color w:val="000000"/>
                <w:kern w:val="0"/>
                <w:sz w:val="18"/>
                <w:szCs w:val="18"/>
              </w:rPr>
              <w:t>项目预期产出效益和效果是否符合正常的业绩水平；</w:t>
            </w:r>
          </w:p>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hint="eastAsia" w:ascii="宋体" w:hAnsi="宋体" w:eastAsia="宋体" w:cs="宋体"/>
                <w:color w:val="000000"/>
                <w:kern w:val="0"/>
                <w:sz w:val="18"/>
                <w:szCs w:val="18"/>
              </w:rPr>
              <w:t>④</w:t>
            </w:r>
            <w:r>
              <w:rPr>
                <w:rFonts w:ascii="Times New Roman" w:hAnsi="Times New Roman" w:eastAsia="仿宋_GB2312" w:cs="Times New Roman"/>
                <w:color w:val="000000"/>
                <w:kern w:val="0"/>
                <w:sz w:val="18"/>
                <w:szCs w:val="18"/>
              </w:rPr>
              <w:t>是否与预算确定的项目投资额或资金量相匹配。</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绩效指标</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是否将项目绩效目标细化分解为具体的绩效指标；</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是否通过清晰、可衡量的指标值予以体现；</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③</w:t>
            </w:r>
            <w:r>
              <w:rPr>
                <w:rFonts w:ascii="Times New Roman" w:hAnsi="Times New Roman" w:eastAsia="仿宋_GB2312" w:cs="Times New Roman"/>
                <w:color w:val="000000"/>
                <w:kern w:val="0"/>
                <w:sz w:val="18"/>
                <w:szCs w:val="18"/>
              </w:rPr>
              <w:t>是否与项目目标任务数或计划数相对应。</w:t>
            </w:r>
            <w:r>
              <w:rPr>
                <w:rFonts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资金投入</w:t>
            </w:r>
          </w:p>
          <w:p>
            <w:pPr>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预算编制</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预算编制是否经过科学论证；</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预算内容与项目内容是否匹配；</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③</w:t>
            </w:r>
            <w:r>
              <w:rPr>
                <w:rFonts w:ascii="Times New Roman" w:hAnsi="Times New Roman" w:eastAsia="仿宋_GB2312" w:cs="Times New Roman"/>
                <w:color w:val="000000"/>
                <w:kern w:val="0"/>
                <w:sz w:val="18"/>
                <w:szCs w:val="18"/>
              </w:rPr>
              <w:t>预算额度测算依据是否充分，是否按照标准编制；</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④</w:t>
            </w:r>
            <w:r>
              <w:rPr>
                <w:rFonts w:ascii="Times New Roman" w:hAnsi="Times New Roman" w:eastAsia="仿宋_GB2312" w:cs="Times New Roman"/>
                <w:color w:val="000000"/>
                <w:kern w:val="0"/>
                <w:sz w:val="18"/>
                <w:szCs w:val="18"/>
              </w:rPr>
              <w:t>预算确定的项目投资额或资金量是否与工作任务相匹配。</w:t>
            </w:r>
          </w:p>
        </w:tc>
        <w:tc>
          <w:tcPr>
            <w:tcW w:w="13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资金分配</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预算资金分配依据是否充分；</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资金分配额度是否合理，与项目单位或地方实际是否相适应。</w:t>
            </w:r>
          </w:p>
        </w:tc>
        <w:tc>
          <w:tcPr>
            <w:tcW w:w="13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p>
          <w:p>
            <w:pPr>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过程</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资金到位率=（实际到位资金/预算资金）×100%。</w:t>
            </w:r>
          </w:p>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预算执行率=（实际支出资金/实际到位资金）×100%。</w:t>
            </w: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资金使用</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是否符合国家财经法规和财务管理制度以及有关专项资金管理办法的规定；</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资金的拨付是否有完整的审批程序和手续；</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③</w:t>
            </w:r>
            <w:r>
              <w:rPr>
                <w:rFonts w:ascii="Times New Roman" w:hAnsi="Times New Roman" w:eastAsia="仿宋_GB2312" w:cs="Times New Roman"/>
                <w:color w:val="000000"/>
                <w:kern w:val="0"/>
                <w:sz w:val="18"/>
                <w:szCs w:val="18"/>
              </w:rPr>
              <w:t>是否符合项目预算批复或合同规定的用途；</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④</w:t>
            </w:r>
            <w:r>
              <w:rPr>
                <w:rFonts w:ascii="Times New Roman" w:hAnsi="Times New Roman" w:eastAsia="仿宋_GB2312" w:cs="Times New Roman"/>
                <w:color w:val="000000"/>
                <w:kern w:val="0"/>
                <w:sz w:val="18"/>
                <w:szCs w:val="18"/>
              </w:rPr>
              <w:t>是否存在截留、挤占、挪用、虚列支出等情况。</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组织实施</w:t>
            </w:r>
          </w:p>
          <w:p>
            <w:pPr>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管理制度</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是否已制定或具有相应的财务和业务管理制度；</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财务和业务管理制度是否合法、合规、完整。</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制度执行</w:t>
            </w:r>
          </w:p>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评价要点：</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①</w:t>
            </w:r>
            <w:r>
              <w:rPr>
                <w:rFonts w:ascii="Times New Roman" w:hAnsi="Times New Roman" w:eastAsia="仿宋_GB2312" w:cs="Times New Roman"/>
                <w:color w:val="000000"/>
                <w:kern w:val="0"/>
                <w:sz w:val="18"/>
                <w:szCs w:val="18"/>
              </w:rPr>
              <w:t>是否遵守相关法律法规和相关管理规定；</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②</w:t>
            </w:r>
            <w:r>
              <w:rPr>
                <w:rFonts w:ascii="Times New Roman" w:hAnsi="Times New Roman" w:eastAsia="仿宋_GB2312" w:cs="Times New Roman"/>
                <w:color w:val="000000"/>
                <w:kern w:val="0"/>
                <w:sz w:val="18"/>
                <w:szCs w:val="18"/>
              </w:rPr>
              <w:t>项目调整及支出调整手续是否完备；</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③</w:t>
            </w:r>
            <w:r>
              <w:rPr>
                <w:rFonts w:ascii="Times New Roman" w:hAnsi="Times New Roman" w:eastAsia="仿宋_GB2312" w:cs="Times New Roman"/>
                <w:color w:val="000000"/>
                <w:kern w:val="0"/>
                <w:sz w:val="18"/>
                <w:szCs w:val="18"/>
              </w:rPr>
              <w:t>项目合同书、验收报告、技术鉴定等资料是否齐全并及时归档；</w:t>
            </w:r>
            <w:r>
              <w:rPr>
                <w:rFonts w:ascii="Times New Roman" w:hAnsi="Times New Roman" w:eastAsia="仿宋_GB2312" w:cs="Times New Roman"/>
                <w:color w:val="000000"/>
                <w:kern w:val="0"/>
                <w:sz w:val="18"/>
                <w:szCs w:val="18"/>
              </w:rPr>
              <w:br w:type="textWrapping"/>
            </w:r>
            <w:r>
              <w:rPr>
                <w:rFonts w:hint="eastAsia" w:ascii="宋体" w:hAnsi="宋体" w:eastAsia="宋体" w:cs="宋体"/>
                <w:color w:val="000000"/>
                <w:kern w:val="0"/>
                <w:sz w:val="18"/>
                <w:szCs w:val="18"/>
              </w:rPr>
              <w:t>④</w:t>
            </w:r>
            <w:r>
              <w:rPr>
                <w:rFonts w:ascii="Times New Roman" w:hAnsi="Times New Roman" w:eastAsia="仿宋_GB2312" w:cs="Times New Roman"/>
                <w:color w:val="000000"/>
                <w:kern w:val="0"/>
                <w:sz w:val="18"/>
                <w:szCs w:val="18"/>
              </w:rPr>
              <w:t>项目实施的人员条件、场地设备、信息支撑等是否落实到位。</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实际完成率=（实际产出数/计划产出数）×100%。</w:t>
            </w: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实际产出数：一定时期（本年度或项目期）内项目实际产出的产品或提供的服务数量。</w:t>
            </w: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质量达标率=（质量达标产出数/实际产出数）×100%。</w:t>
            </w:r>
          </w:p>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实际完成时间：项目实施单位完成该项目实际所耗用的时间。</w:t>
            </w: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成本节约率=[（计划成本-实际成本）/计划成本]×100%。</w:t>
            </w: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实际成本：项目实施单位如期、保质、保量完成既定工作目标实际所耗费的支出。</w:t>
            </w:r>
            <w:r>
              <w:rPr>
                <w:rFonts w:ascii="Times New Roman" w:hAnsi="Times New Roman" w:eastAsia="仿宋_GB2312" w:cs="Times New Roman"/>
                <w:color w:val="000000"/>
                <w:kern w:val="0"/>
                <w:sz w:val="18"/>
                <w:szCs w:val="18"/>
              </w:rPr>
              <w:br w:type="textWrapping"/>
            </w:r>
            <w:r>
              <w:rPr>
                <w:rFonts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ind w:firstLine="360" w:firstLineChars="200"/>
              <w:jc w:val="center"/>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ind w:firstLine="360" w:firstLineChars="200"/>
              <w:jc w:val="left"/>
              <w:rPr>
                <w:rFonts w:ascii="Times New Roman" w:hAnsi="Times New Roman" w:eastAsia="仿宋_GB2312" w:cs="Times New Roman"/>
                <w:color w:val="000000"/>
                <w:kern w:val="0"/>
                <w:sz w:val="18"/>
                <w:szCs w:val="18"/>
              </w:rPr>
            </w:pPr>
            <w:r>
              <w:rPr>
                <w:rFonts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rPr>
            </w:pPr>
            <w:r>
              <w:rPr>
                <w:rFonts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ind w:firstLine="361" w:firstLineChars="200"/>
              <w:jc w:val="center"/>
              <w:rPr>
                <w:rFonts w:ascii="Times New Roman" w:hAnsi="Times New Roman" w:eastAsia="仿宋_GB2312" w:cs="Times New Roman"/>
                <w:b/>
                <w:bCs/>
                <w:color w:val="000000"/>
                <w:kern w:val="0"/>
                <w:sz w:val="18"/>
                <w:szCs w:val="18"/>
                <w:highlight w:val="none"/>
              </w:rPr>
            </w:pPr>
            <w:r>
              <w:rPr>
                <w:rFonts w:hint="eastAsia" w:ascii="Times New Roman" w:hAnsi="Times New Roman" w:eastAsia="仿宋_GB2312" w:cs="Times New Roman"/>
                <w:b/>
                <w:bCs/>
                <w:color w:val="000000"/>
                <w:kern w:val="0"/>
                <w:sz w:val="18"/>
                <w:szCs w:val="18"/>
                <w:highlight w:val="none"/>
              </w:rPr>
              <w:t>10</w:t>
            </w:r>
          </w:p>
        </w:tc>
      </w:tr>
    </w:tbl>
    <w:p>
      <w:pPr>
        <w:rPr>
          <w:rFonts w:hint="eastAsia"/>
          <w:lang w:val="en-US" w:eastAsia="zh-CN"/>
        </w:rPr>
        <w:sectPr>
          <w:pgSz w:w="16838" w:h="11906" w:orient="landscape"/>
          <w:pgMar w:top="2098" w:right="1531" w:bottom="1984" w:left="1531" w:header="851" w:footer="992" w:gutter="0"/>
          <w:cols w:space="425" w:num="1"/>
          <w:docGrid w:type="lines" w:linePitch="312" w:charSpace="0"/>
        </w:sectPr>
      </w:pP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3"/>
        <w:gridCol w:w="998"/>
        <w:gridCol w:w="998"/>
        <w:gridCol w:w="1066"/>
        <w:gridCol w:w="2047"/>
        <w:gridCol w:w="500"/>
        <w:gridCol w:w="1984"/>
        <w:gridCol w:w="1374"/>
        <w:gridCol w:w="354"/>
        <w:gridCol w:w="731"/>
        <w:gridCol w:w="571"/>
        <w:gridCol w:w="707"/>
        <w:gridCol w:w="661"/>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00" w:type="pct"/>
            <w:gridSpan w:val="1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296"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伊州财建[2024]29号伊犁州特克斯县特色林果业标准化生产示范基地以工代赈项目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232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特克斯县林业和草原局</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3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特克斯县林业和草原局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0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7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8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4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0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7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800.00</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756.45</w:t>
            </w:r>
          </w:p>
        </w:tc>
        <w:tc>
          <w:tcPr>
            <w:tcW w:w="4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94.56%</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0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7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800.00</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800.00</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0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7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8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0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7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8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7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97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2678" w:type="pct"/>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完成节水灌溉管道40公里，砂石道路20公里，改善该示范园基础条件，具有一定的示范带动，用工多为本地工人，增加就业渠道，促进当地居民增收致富。</w:t>
            </w:r>
          </w:p>
        </w:tc>
        <w:tc>
          <w:tcPr>
            <w:tcW w:w="1970" w:type="pct"/>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先有群众后有项目，能用人工的尽量不用机械，能用当地群众的尽量不用专业施工队伍；完成节水灌溉管道40公里，砂石道路20公里，改善该示范园基础条件，用工多为本地工人，增加了就业渠道，促进了当地居民增收致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9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7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4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38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5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65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109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87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8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5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65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新建节水灌溉管道长度（公里）</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=40公里</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40公里</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砂石道路建设里程（公里）</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=20公里</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20公里</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实施方案编制（本）</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&gt;=1本</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“两个责任”按项目落实到位率</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项目工程按期完工率（%）</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发放劳务报酬</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260万</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节水灌溉管道工程建筑工程费用</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=296万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261.95万</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工程质量质保金未支付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砂石道路工程建筑费用</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174万</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附属设施费用</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=18万元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18万元</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建筑工程建设其它费用</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28万元</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项目完工后，监理资料未及时交付甲方，监理费用2万元未支付。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建筑工程基本预备费</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=22万元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14.5万元</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因我单位办公经费由财政统一拨付，7.5万元由财政统筹。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left"/>
              <w:rPr>
                <w:rFonts w:hint="eastAsia" w:ascii="宋体" w:hAnsi="宋体" w:eastAsia="宋体" w:cs="宋体"/>
                <w:i w:val="0"/>
                <w:iCs w:val="0"/>
                <w:color w:val="000000"/>
                <w:sz w:val="20"/>
                <w:szCs w:val="20"/>
                <w:u w:val="none"/>
              </w:rPr>
            </w:pP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left"/>
              <w:rPr>
                <w:rFonts w:hint="eastAsia" w:ascii="宋体" w:hAnsi="宋体" w:eastAsia="宋体" w:cs="宋体"/>
                <w:i w:val="0"/>
                <w:iCs w:val="0"/>
                <w:color w:val="000000"/>
                <w:sz w:val="20"/>
                <w:szCs w:val="20"/>
                <w:u w:val="none"/>
              </w:rPr>
            </w:pP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提升基地亩产，人均新增收入（亩/元）</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=200元/亩</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200元/亩</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项目区基础设施条件</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持续改善</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持续改善</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带动农民工务工人数</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260人</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村民自建示范，激发群众内生动力</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显著提升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显著提升</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left"/>
              <w:rPr>
                <w:rFonts w:hint="eastAsia" w:ascii="宋体" w:hAnsi="宋体" w:eastAsia="宋体" w:cs="宋体"/>
                <w:i w:val="0"/>
                <w:iCs w:val="0"/>
                <w:color w:val="000000"/>
                <w:sz w:val="20"/>
                <w:szCs w:val="20"/>
                <w:u w:val="none"/>
              </w:rPr>
            </w:pP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参与工程建设任务的务工群众满意度（%）</w:t>
            </w:r>
          </w:p>
        </w:tc>
        <w:tc>
          <w:tcPr>
            <w:tcW w:w="8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13"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97.07分</w:t>
            </w:r>
          </w:p>
        </w:tc>
        <w:tc>
          <w:tcPr>
            <w:tcW w:w="6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宋体" w:hAnsi="宋体" w:eastAsia="宋体" w:cs="宋体"/>
                <w:i w:val="0"/>
                <w:iCs w:val="0"/>
                <w:color w:val="000000"/>
                <w:sz w:val="20"/>
                <w:szCs w:val="20"/>
                <w:u w:val="none"/>
              </w:rPr>
            </w:pPr>
          </w:p>
        </w:tc>
      </w:tr>
    </w:tbl>
    <w:p>
      <w:pPr>
        <w:widowControl w:val="0"/>
        <w:spacing w:after="120" w:line="560" w:lineRule="exact"/>
        <w:ind w:left="420" w:leftChars="200" w:firstLine="640" w:firstLineChars="200"/>
        <w:jc w:val="left"/>
        <w:rPr>
          <w:rFonts w:hint="eastAsia" w:ascii="Calibri" w:hAnsi="Calibri" w:eastAsia="仿宋_GB2312" w:cs="Times New Roman"/>
          <w:kern w:val="2"/>
          <w:sz w:val="32"/>
          <w:szCs w:val="24"/>
          <w:lang w:val="en-US" w:eastAsia="zh-CN" w:bidi="ar-SA"/>
        </w:rPr>
      </w:pPr>
    </w:p>
    <w:p/>
    <w:sectPr>
      <w:footerReference r:id="rId3" w:type="default"/>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B0E51"/>
    <w:rsid w:val="005C51DF"/>
    <w:rsid w:val="005D10D6"/>
    <w:rsid w:val="005E7C5E"/>
    <w:rsid w:val="00725906"/>
    <w:rsid w:val="0075584F"/>
    <w:rsid w:val="007719C9"/>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2BA4637D"/>
    <w:rsid w:val="46625E0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104</Words>
  <Characters>598</Characters>
  <Lines>4</Lines>
  <Paragraphs>1</Paragraphs>
  <TotalTime>0</TotalTime>
  <ScaleCrop>false</ScaleCrop>
  <LinksUpToDate>false</LinksUpToDate>
  <CharactersWithSpaces>701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2025-03-11T03:27:00Z</dcterms:created>
  <dc:creator>赵 恺（预算处）</dc:creator>
  <cp:lastModifiedBy>Administrator</cp:lastModifiedBy>
  <cp:lastPrinted>2018-12-31T10:56:00Z</cp:lastPrinted>
  <dcterms:modified xsi:type="dcterms:W3CDTF">2025-07-22T12:37:41Z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21EF0CDCB73D4B8D8FAC715995DB8275</vt:lpwstr>
  </property>
</Properties>
</file>